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FFDC" w14:textId="15044BD5" w:rsidR="00C94BD2" w:rsidRDefault="00C94BD2" w:rsidP="00C94BD2">
      <w:pPr>
        <w:tabs>
          <w:tab w:val="left" w:pos="69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BD2">
        <w:rPr>
          <w:rFonts w:ascii="Times New Roman" w:hAnsi="Times New Roman" w:cs="Times New Roman"/>
          <w:b/>
          <w:bCs/>
          <w:sz w:val="24"/>
          <w:szCs w:val="24"/>
        </w:rPr>
        <w:t xml:space="preserve">Оценочное зонирование территории 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>Республики Мордовия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>по состоянию на 01.01.2022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 xml:space="preserve"> в отношении </w:t>
      </w:r>
      <w:r w:rsidRPr="00C94BD2">
        <w:rPr>
          <w:rFonts w:ascii="Times New Roman" w:hAnsi="Times New Roman" w:cs="Times New Roman"/>
          <w:b/>
          <w:bCs/>
          <w:sz w:val="24"/>
          <w:szCs w:val="24"/>
        </w:rPr>
        <w:t>земельных участков</w:t>
      </w:r>
      <w:r w:rsidR="005F3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3F37" w:rsidRPr="00C94BD2">
        <w:rPr>
          <w:rFonts w:ascii="Times New Roman" w:hAnsi="Times New Roman" w:cs="Times New Roman"/>
          <w:b/>
          <w:bCs/>
          <w:sz w:val="24"/>
          <w:szCs w:val="24"/>
        </w:rPr>
        <w:t>с видами разрешенного использования «Индивидуальное жилищное строительство» и «Для ведения личного подсобного хозяйства»</w:t>
      </w:r>
    </w:p>
    <w:p w14:paraId="000174D8" w14:textId="77777777" w:rsidR="00C94BD2" w:rsidRPr="00C94BD2" w:rsidRDefault="00C94BD2" w:rsidP="00C94BD2">
      <w:pPr>
        <w:tabs>
          <w:tab w:val="left" w:pos="699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C988B" w14:textId="42C07338" w:rsid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E03">
        <w:rPr>
          <w:rFonts w:ascii="Times New Roman" w:hAnsi="Times New Roman" w:cs="Times New Roman"/>
          <w:sz w:val="24"/>
          <w:szCs w:val="24"/>
        </w:rPr>
        <w:t xml:space="preserve">В соответствии с главой </w:t>
      </w:r>
      <w:r w:rsidRPr="00923E0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923E03">
        <w:rPr>
          <w:rFonts w:ascii="Times New Roman" w:hAnsi="Times New Roman" w:cs="Times New Roman"/>
          <w:sz w:val="24"/>
          <w:szCs w:val="24"/>
        </w:rPr>
        <w:t xml:space="preserve"> Методических указаний в процессе определения кадастровой стоимости бюджетным учреждением проводится оценочное зонирование, предусматривающее разделение территории, на которой проводится государственная кадастровая оценка, на ценовые зоны.</w:t>
      </w:r>
    </w:p>
    <w:p w14:paraId="013094B8" w14:textId="77777777" w:rsid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>Целью оценочного зонирования является представление в текстовой форме (семантические сведения) и графической форме (графические сведения) информации о сложившейся на дату определения кадастровой стоимости ситуации в различных сегментах рынка недвижимости, представленных в конкретных ценовых зонах.</w:t>
      </w:r>
    </w:p>
    <w:p w14:paraId="0210C59A" w14:textId="77777777" w:rsidR="00C94BD2" w:rsidRP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>Оценочное зонирование заключается в систематизации на дату определения кадастровой стоимости рыночной информации о сделках (предложениях) с типовыми объектами недвижимости исходя из их местоположения и вида использования с учетом существующего и перспективного развития, а также затрат на создание указанных объектов недвижимости.</w:t>
      </w:r>
    </w:p>
    <w:p w14:paraId="2EA9380A" w14:textId="77777777" w:rsidR="00C94BD2" w:rsidRP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>Оценочное зонирование проводится только в отношении тех сегментов рынка недвижимости, по которым существует достаточная рыночная информация.</w:t>
      </w:r>
    </w:p>
    <w:p w14:paraId="2CD79DD8" w14:textId="07F5A48A" w:rsidR="00C94BD2" w:rsidRP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>В ходе проведения анализа рынка было выявлено достаточное количество предложений о продаже земельных участков с видами разрешенного использования «Индивидуальное жилищное строительство» и «Для ведения личного подсобного хозяйства». Учитывая схожесть основных ценообразующих факторов для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D2">
        <w:rPr>
          <w:rFonts w:ascii="Times New Roman" w:hAnsi="Times New Roman" w:cs="Times New Roman"/>
          <w:sz w:val="24"/>
          <w:szCs w:val="24"/>
        </w:rPr>
        <w:t xml:space="preserve">видов использования принято решение для проведения оценочного зонирования объединить их в один сегмент. </w:t>
      </w:r>
    </w:p>
    <w:p w14:paraId="62DB197A" w14:textId="77777777" w:rsidR="00C94BD2" w:rsidRP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D2">
        <w:rPr>
          <w:rFonts w:ascii="Times New Roman" w:hAnsi="Times New Roman" w:cs="Times New Roman"/>
          <w:sz w:val="24"/>
          <w:szCs w:val="24"/>
        </w:rPr>
        <w:t xml:space="preserve">По другим сегментам оценочное зонирование не проводилось в силу того, что рыночная информация недостаточна, имеет фрагментарный характер, что не позволяет выделить соответствующие зоны с типовыми объектами. </w:t>
      </w:r>
    </w:p>
    <w:p w14:paraId="642D85B3" w14:textId="77777777" w:rsidR="00C94BD2" w:rsidRPr="00C751D2" w:rsidRDefault="00C94BD2" w:rsidP="00C94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85B">
        <w:rPr>
          <w:rFonts w:ascii="Times New Roman" w:hAnsi="Times New Roman" w:cs="Times New Roman"/>
          <w:sz w:val="24"/>
          <w:szCs w:val="24"/>
        </w:rPr>
        <w:t>Анализ социально-экономическо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FD685B">
        <w:rPr>
          <w:rFonts w:ascii="Times New Roman" w:hAnsi="Times New Roman" w:cs="Times New Roman"/>
          <w:sz w:val="24"/>
          <w:szCs w:val="24"/>
        </w:rPr>
        <w:t>развити</w:t>
      </w:r>
      <w:r>
        <w:rPr>
          <w:rFonts w:ascii="Times New Roman" w:hAnsi="Times New Roman" w:cs="Times New Roman"/>
          <w:sz w:val="24"/>
          <w:szCs w:val="24"/>
        </w:rPr>
        <w:t xml:space="preserve">я территорий и </w:t>
      </w:r>
      <w:r w:rsidRPr="00FD685B">
        <w:rPr>
          <w:rFonts w:ascii="Times New Roman" w:hAnsi="Times New Roman" w:cs="Times New Roman"/>
          <w:sz w:val="24"/>
          <w:szCs w:val="24"/>
        </w:rPr>
        <w:t xml:space="preserve">цен </w:t>
      </w:r>
      <w:r>
        <w:rPr>
          <w:rFonts w:ascii="Times New Roman" w:hAnsi="Times New Roman" w:cs="Times New Roman"/>
          <w:sz w:val="24"/>
          <w:szCs w:val="24"/>
        </w:rPr>
        <w:t xml:space="preserve">на рынке недвижимости </w:t>
      </w:r>
      <w:r w:rsidRPr="00FD685B">
        <w:rPr>
          <w:rFonts w:ascii="Times New Roman" w:hAnsi="Times New Roman" w:cs="Times New Roman"/>
          <w:sz w:val="24"/>
          <w:szCs w:val="24"/>
        </w:rPr>
        <w:t xml:space="preserve">позволяет выделить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685B">
        <w:rPr>
          <w:rFonts w:ascii="Times New Roman" w:hAnsi="Times New Roman" w:cs="Times New Roman"/>
          <w:sz w:val="24"/>
          <w:szCs w:val="24"/>
        </w:rPr>
        <w:t xml:space="preserve"> ценовы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D685B">
        <w:rPr>
          <w:rFonts w:ascii="Times New Roman" w:hAnsi="Times New Roman" w:cs="Times New Roman"/>
          <w:sz w:val="24"/>
          <w:szCs w:val="24"/>
        </w:rPr>
        <w:t>зон</w:t>
      </w:r>
      <w:r>
        <w:rPr>
          <w:rFonts w:ascii="Times New Roman" w:hAnsi="Times New Roman" w:cs="Times New Roman"/>
          <w:sz w:val="24"/>
          <w:szCs w:val="24"/>
        </w:rPr>
        <w:t xml:space="preserve">ы. </w:t>
      </w:r>
      <w:r w:rsidRPr="00C751D2">
        <w:rPr>
          <w:rFonts w:ascii="Times New Roman" w:hAnsi="Times New Roman" w:cs="Times New Roman"/>
          <w:sz w:val="24"/>
          <w:szCs w:val="24"/>
        </w:rPr>
        <w:t xml:space="preserve">Ценовые зоны построены таким образом, что их границы совпадают с границами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C751D2">
        <w:rPr>
          <w:rFonts w:ascii="Times New Roman" w:hAnsi="Times New Roman" w:cs="Times New Roman"/>
          <w:sz w:val="24"/>
          <w:szCs w:val="24"/>
        </w:rPr>
        <w:t>, входящих в них</w:t>
      </w:r>
      <w:r>
        <w:rPr>
          <w:rFonts w:ascii="Times New Roman" w:hAnsi="Times New Roman" w:cs="Times New Roman"/>
          <w:sz w:val="24"/>
          <w:szCs w:val="24"/>
        </w:rPr>
        <w:t>, что обоснованно распределением объектов-аналогов на территории республики.</w:t>
      </w:r>
    </w:p>
    <w:p w14:paraId="416F1685" w14:textId="77777777" w:rsidR="00C94BD2" w:rsidRDefault="00C94BD2" w:rsidP="00C94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7B1D">
        <w:rPr>
          <w:rFonts w:ascii="Times New Roman" w:hAnsi="Times New Roman" w:cs="Times New Roman"/>
          <w:sz w:val="24"/>
          <w:szCs w:val="24"/>
        </w:rPr>
        <w:t>иже приведен</w:t>
      </w:r>
      <w:r>
        <w:rPr>
          <w:rFonts w:ascii="Times New Roman" w:hAnsi="Times New Roman" w:cs="Times New Roman"/>
          <w:sz w:val="24"/>
          <w:szCs w:val="24"/>
        </w:rPr>
        <w:t>о г</w:t>
      </w:r>
      <w:r w:rsidRPr="009A417B">
        <w:rPr>
          <w:rFonts w:ascii="Times New Roman" w:hAnsi="Times New Roman" w:cs="Times New Roman"/>
          <w:sz w:val="24"/>
          <w:szCs w:val="24"/>
        </w:rPr>
        <w:t xml:space="preserve">рафическое отображение сформированных ценовых зон </w:t>
      </w:r>
      <w:r>
        <w:rPr>
          <w:rFonts w:ascii="Times New Roman" w:hAnsi="Times New Roman" w:cs="Times New Roman"/>
          <w:sz w:val="24"/>
          <w:szCs w:val="24"/>
        </w:rPr>
        <w:t xml:space="preserve">и их </w:t>
      </w:r>
      <w:r w:rsidRPr="00217B1D">
        <w:rPr>
          <w:rFonts w:ascii="Times New Roman" w:hAnsi="Times New Roman" w:cs="Times New Roman"/>
          <w:sz w:val="24"/>
          <w:szCs w:val="24"/>
        </w:rPr>
        <w:t>описани</w:t>
      </w:r>
      <w:r>
        <w:rPr>
          <w:rFonts w:ascii="Times New Roman" w:hAnsi="Times New Roman" w:cs="Times New Roman"/>
          <w:sz w:val="24"/>
          <w:szCs w:val="24"/>
        </w:rPr>
        <w:t>е.</w:t>
      </w:r>
    </w:p>
    <w:p w14:paraId="5DBFB4C5" w14:textId="77777777" w:rsidR="00C94BD2" w:rsidRPr="00217B1D" w:rsidRDefault="00C94BD2" w:rsidP="00C94B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6DC36" w14:textId="728FD10A" w:rsidR="00C94BD2" w:rsidRPr="00AA1EAF" w:rsidRDefault="00C94BD2" w:rsidP="00C94BD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lang w:val="x-none"/>
        </w:rPr>
      </w:pPr>
      <w:r w:rsidRPr="008F23A8">
        <w:rPr>
          <w:rFonts w:ascii="Times New Roman" w:hAnsi="Times New Roman" w:cs="Times New Roman"/>
          <w:b/>
          <w:sz w:val="20"/>
          <w:szCs w:val="20"/>
        </w:rPr>
        <w:t>Краткая характеристика ценовых зон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086"/>
        <w:gridCol w:w="7371"/>
      </w:tblGrid>
      <w:tr w:rsidR="00C94BD2" w:rsidRPr="00217B1D" w14:paraId="6C87BE51" w14:textId="77777777" w:rsidTr="00C94BD2">
        <w:trPr>
          <w:trHeight w:val="20"/>
          <w:tblHeader/>
        </w:trPr>
        <w:tc>
          <w:tcPr>
            <w:tcW w:w="603" w:type="dxa"/>
            <w:shd w:val="clear" w:color="auto" w:fill="auto"/>
            <w:vAlign w:val="center"/>
            <w:hideMark/>
          </w:tcPr>
          <w:p w14:paraId="36BAB3A6" w14:textId="77777777" w:rsidR="00C94BD2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7B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8AAB57" w14:textId="77777777" w:rsidR="00C94BD2" w:rsidRPr="00217B1D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7B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9DBFFBF" w14:textId="77777777" w:rsidR="00C94BD2" w:rsidRPr="00217B1D" w:rsidRDefault="00C94BD2" w:rsidP="00C94BD2">
            <w:pPr>
              <w:spacing w:after="0" w:line="276" w:lineRule="auto"/>
              <w:ind w:left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7B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ценовой зоны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14:paraId="37EF25BE" w14:textId="77777777" w:rsidR="00C94BD2" w:rsidRPr="00217B1D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7B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C94BD2" w:rsidRPr="00217B1D" w14:paraId="129ADFD2" w14:textId="77777777" w:rsidTr="00C94BD2">
        <w:trPr>
          <w:trHeight w:val="20"/>
        </w:trPr>
        <w:tc>
          <w:tcPr>
            <w:tcW w:w="603" w:type="dxa"/>
            <w:shd w:val="clear" w:color="auto" w:fill="auto"/>
            <w:vAlign w:val="center"/>
            <w:hideMark/>
          </w:tcPr>
          <w:p w14:paraId="2E9D1087" w14:textId="77777777" w:rsidR="00C94BD2" w:rsidRPr="00217B1D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7B1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A8FE27C" w14:textId="77777777" w:rsidR="00C94BD2" w:rsidRPr="00217B1D" w:rsidRDefault="00C94BD2" w:rsidP="00C94BD2">
            <w:pPr>
              <w:spacing w:after="0" w:line="276" w:lineRule="auto"/>
              <w:ind w:left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Ценовая зона 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CF087E9" w14:textId="77777777" w:rsidR="00C94BD2" w:rsidRPr="00217B1D" w:rsidRDefault="00C94BD2" w:rsidP="00C94B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участки, расположенные в г. Саранск</w:t>
            </w:r>
          </w:p>
        </w:tc>
      </w:tr>
      <w:tr w:rsidR="00C94BD2" w:rsidRPr="00217B1D" w14:paraId="0CA9FD60" w14:textId="77777777" w:rsidTr="00C94BD2">
        <w:trPr>
          <w:trHeight w:val="20"/>
        </w:trPr>
        <w:tc>
          <w:tcPr>
            <w:tcW w:w="603" w:type="dxa"/>
            <w:shd w:val="clear" w:color="auto" w:fill="auto"/>
            <w:vAlign w:val="center"/>
          </w:tcPr>
          <w:p w14:paraId="5A893D86" w14:textId="77777777" w:rsidR="00C94BD2" w:rsidRPr="00217B1D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E0A2D65" w14:textId="77777777" w:rsidR="00C94BD2" w:rsidRDefault="00C94BD2" w:rsidP="00C94BD2">
            <w:pPr>
              <w:spacing w:after="0" w:line="276" w:lineRule="auto"/>
              <w:ind w:left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Ценовая зона 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7C753A" w14:textId="77777777" w:rsidR="00C94BD2" w:rsidRDefault="00C94BD2" w:rsidP="00C94B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Земельные участки, расположенные в границах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Саранск (за исключением г. Саранск),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Берсеневка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п. Чекаевский Лямбирского района</w:t>
            </w:r>
          </w:p>
        </w:tc>
      </w:tr>
      <w:tr w:rsidR="00C94BD2" w:rsidRPr="00217B1D" w14:paraId="25B27135" w14:textId="77777777" w:rsidTr="00C94BD2">
        <w:trPr>
          <w:trHeight w:val="20"/>
        </w:trPr>
        <w:tc>
          <w:tcPr>
            <w:tcW w:w="603" w:type="dxa"/>
            <w:shd w:val="clear" w:color="auto" w:fill="auto"/>
            <w:vAlign w:val="center"/>
          </w:tcPr>
          <w:p w14:paraId="706A1467" w14:textId="77777777" w:rsidR="00C94BD2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09DAD07" w14:textId="77777777" w:rsidR="00C94BD2" w:rsidRDefault="00C94BD2" w:rsidP="00C94BD2">
            <w:pPr>
              <w:spacing w:after="0" w:line="276" w:lineRule="auto"/>
              <w:ind w:left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Ценовая зона 3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03B7E4" w14:textId="77777777" w:rsidR="00C94BD2" w:rsidRDefault="00C94BD2" w:rsidP="00C94B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участки, расположенные в Рузаевском, Лямбирском, Чамзинском, Торбеевском, Зубово-Полянском и Кочкуровском районах</w:t>
            </w:r>
          </w:p>
        </w:tc>
      </w:tr>
      <w:tr w:rsidR="00C94BD2" w:rsidRPr="00217B1D" w14:paraId="0C09F817" w14:textId="77777777" w:rsidTr="00C94BD2">
        <w:trPr>
          <w:trHeight w:val="20"/>
        </w:trPr>
        <w:tc>
          <w:tcPr>
            <w:tcW w:w="603" w:type="dxa"/>
            <w:shd w:val="clear" w:color="auto" w:fill="auto"/>
            <w:vAlign w:val="center"/>
          </w:tcPr>
          <w:p w14:paraId="49ADCDC1" w14:textId="77777777" w:rsidR="00C94BD2" w:rsidRDefault="00C94BD2" w:rsidP="00C94B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BBB343D" w14:textId="77777777" w:rsidR="00C94BD2" w:rsidRDefault="00C94BD2" w:rsidP="00C94BD2">
            <w:pPr>
              <w:spacing w:after="0" w:line="276" w:lineRule="auto"/>
              <w:ind w:left="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Ценовая зона 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CFDACE" w14:textId="77777777" w:rsidR="00C94BD2" w:rsidRDefault="00C94BD2" w:rsidP="00C94B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участки, расположенные в Ардатовском, Атюрьевском, Атяшевском, Большеберезниковском, Большеигнатовском, Дубенском, Ельниковском, Инсарском, Ичалковском, Кадошкинском, Ковылкинском, Краснослободском, Ромодановском, Старошайговском, Темниковском и Теньгушевском районах</w:t>
            </w:r>
          </w:p>
        </w:tc>
      </w:tr>
    </w:tbl>
    <w:p w14:paraId="2F2E9223" w14:textId="77777777" w:rsidR="00C94BD2" w:rsidRDefault="00C94BD2" w:rsidP="00C94BD2">
      <w:pPr>
        <w:tabs>
          <w:tab w:val="left" w:pos="6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6F17FC" wp14:editId="4F66D9C1">
            <wp:extent cx="6305498" cy="3505200"/>
            <wp:effectExtent l="0" t="0" r="63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82000"/>
                              </a14:imgEffect>
                              <a14:imgEffect>
                                <a14:colorTemperature colorTemp="4788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13000" contrast="-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9" r="1270" b="13688"/>
                    <a:stretch/>
                  </pic:blipFill>
                  <pic:spPr bwMode="auto">
                    <a:xfrm>
                      <a:off x="0" y="0"/>
                      <a:ext cx="6307299" cy="3506201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90D47" w14:textId="12535DAA" w:rsidR="00C94BD2" w:rsidRDefault="00C94BD2" w:rsidP="00C94BD2">
      <w:pPr>
        <w:pStyle w:val="a"/>
        <w:widowControl w:val="0"/>
        <w:numPr>
          <w:ilvl w:val="0"/>
          <w:numId w:val="0"/>
        </w:numPr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F23A8">
        <w:rPr>
          <w:rFonts w:ascii="Times New Roman" w:hAnsi="Times New Roman"/>
          <w:b/>
          <w:iCs/>
          <w:sz w:val="20"/>
          <w:szCs w:val="20"/>
        </w:rPr>
        <w:t>Графическое</w:t>
      </w:r>
      <w:r w:rsidRPr="00005185">
        <w:rPr>
          <w:rFonts w:ascii="Times New Roman" w:hAnsi="Times New Roman"/>
          <w:b/>
          <w:iCs/>
          <w:sz w:val="20"/>
          <w:szCs w:val="20"/>
        </w:rPr>
        <w:t xml:space="preserve"> отображение сформированных ценовых зон</w:t>
      </w:r>
    </w:p>
    <w:p w14:paraId="75B0288E" w14:textId="77777777" w:rsidR="00C94BD2" w:rsidRP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44750" w14:textId="77777777" w:rsidR="00C94BD2" w:rsidRDefault="00C94BD2" w:rsidP="00C94BD2">
      <w:pPr>
        <w:tabs>
          <w:tab w:val="left" w:pos="699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CBC3C7" w14:textId="77777777" w:rsidR="00762952" w:rsidRDefault="00762952" w:rsidP="00C94BD2">
      <w:pPr>
        <w:spacing w:after="0" w:line="276" w:lineRule="auto"/>
      </w:pPr>
    </w:p>
    <w:sectPr w:rsidR="00762952" w:rsidSect="00C94B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4653A"/>
    <w:multiLevelType w:val="multilevel"/>
    <w:tmpl w:val="F5B48B00"/>
    <w:lvl w:ilvl="0">
      <w:start w:val="1"/>
      <w:numFmt w:val="bullet"/>
      <w:pStyle w:val="a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880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D2"/>
    <w:rsid w:val="005F3F37"/>
    <w:rsid w:val="00762952"/>
    <w:rsid w:val="00C94BD2"/>
    <w:rsid w:val="00C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9C84"/>
  <w15:chartTrackingRefBased/>
  <w15:docId w15:val="{B8B9F06E-07BF-45D1-8CC6-D068047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BD2"/>
    <w:rPr>
      <w:kern w:val="0"/>
      <w14:ligatures w14:val="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СПИСОК,Нумерованный,Абзац списка ЭкспертЪ,Уровент 2.2,Абзац списка4,List Paragraph,cko-Список"/>
    <w:basedOn w:val="a0"/>
    <w:link w:val="a4"/>
    <w:uiPriority w:val="34"/>
    <w:qFormat/>
    <w:rsid w:val="00C94BD2"/>
    <w:pPr>
      <w:numPr>
        <w:numId w:val="1"/>
      </w:num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ПИСОК Знак,Нумерованный Знак,Абзац списка ЭкспертЪ Знак,Уровент 2.2 Знак,Абзац списка4 Знак,List Paragraph Знак,cko-Список Знак"/>
    <w:link w:val="a"/>
    <w:uiPriority w:val="34"/>
    <w:qFormat/>
    <w:rsid w:val="00C94BD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ОЦЕНКА01</dc:creator>
  <cp:keywords/>
  <dc:description/>
  <cp:lastModifiedBy>ОЦЕНКА01</cp:lastModifiedBy>
  <cp:revision>2</cp:revision>
  <dcterms:created xsi:type="dcterms:W3CDTF">2023-12-01T08:05:00Z</dcterms:created>
  <dcterms:modified xsi:type="dcterms:W3CDTF">2023-12-01T08:46:00Z</dcterms:modified>
</cp:coreProperties>
</file>