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345249" w14:textId="5476E901" w:rsidR="00BD74B8" w:rsidRPr="00BD74B8" w:rsidRDefault="00BD74B8" w:rsidP="00BD74B8">
      <w:pPr>
        <w:widowControl/>
        <w:tabs>
          <w:tab w:val="left" w:pos="6990"/>
        </w:tabs>
        <w:ind w:firstLine="709"/>
        <w:jc w:val="center"/>
        <w:textAlignment w:val="auto"/>
        <w:rPr>
          <w:rFonts w:eastAsia="Calibri" w:cs="Times New Roman"/>
          <w:b/>
          <w:bCs/>
          <w:kern w:val="0"/>
          <w:lang w:eastAsia="en-US" w:bidi="ar-SA"/>
        </w:rPr>
      </w:pPr>
      <w:r w:rsidRPr="00BD74B8">
        <w:rPr>
          <w:rFonts w:eastAsia="Calibri" w:cs="Times New Roman"/>
          <w:b/>
          <w:bCs/>
          <w:kern w:val="0"/>
          <w:lang w:eastAsia="en-US" w:bidi="ar-SA"/>
        </w:rPr>
        <w:t>Оценочное зонирование территории Республики Мордовия по состоянию на 01.01.202</w:t>
      </w:r>
      <w:r>
        <w:rPr>
          <w:rFonts w:eastAsia="Calibri" w:cs="Times New Roman"/>
          <w:b/>
          <w:bCs/>
          <w:kern w:val="0"/>
          <w:lang w:eastAsia="en-US" w:bidi="ar-SA"/>
        </w:rPr>
        <w:t>3</w:t>
      </w:r>
      <w:r w:rsidRPr="00BD74B8">
        <w:rPr>
          <w:rFonts w:eastAsia="Calibri" w:cs="Times New Roman"/>
          <w:b/>
          <w:bCs/>
          <w:kern w:val="0"/>
          <w:lang w:eastAsia="en-US" w:bidi="ar-SA"/>
        </w:rPr>
        <w:t xml:space="preserve"> в отношении </w:t>
      </w:r>
      <w:r>
        <w:rPr>
          <w:rFonts w:eastAsia="Calibri" w:cs="Times New Roman"/>
          <w:b/>
          <w:bCs/>
          <w:kern w:val="0"/>
          <w:lang w:eastAsia="en-US" w:bidi="ar-SA"/>
        </w:rPr>
        <w:t>объектов капитального строительства</w:t>
      </w:r>
    </w:p>
    <w:p w14:paraId="16C948C3" w14:textId="77777777" w:rsidR="00BD74B8" w:rsidRDefault="00BD74B8" w:rsidP="004B2097">
      <w:pPr>
        <w:widowControl/>
        <w:tabs>
          <w:tab w:val="left" w:pos="6990"/>
        </w:tabs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</w:p>
    <w:p w14:paraId="6C2DAF53" w14:textId="77777777" w:rsidR="00BD74B8" w:rsidRDefault="00BD74B8" w:rsidP="004B2097">
      <w:pPr>
        <w:widowControl/>
        <w:tabs>
          <w:tab w:val="left" w:pos="6990"/>
        </w:tabs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</w:p>
    <w:p w14:paraId="3B105712" w14:textId="42F92C84" w:rsidR="004B2097" w:rsidRPr="00BD093E" w:rsidRDefault="004B2097" w:rsidP="004B2097">
      <w:pPr>
        <w:widowControl/>
        <w:tabs>
          <w:tab w:val="left" w:pos="6990"/>
        </w:tabs>
        <w:ind w:firstLine="709"/>
        <w:jc w:val="both"/>
        <w:textAlignment w:val="auto"/>
        <w:rPr>
          <w:rFonts w:eastAsia="Calibri" w:cs="Times New Roman"/>
          <w:b/>
          <w:bCs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 xml:space="preserve">В результате проведенного анализа рынка было выявлено достаточное количество предложений о продаже квартир и индивидуальных домов, относящихся к функциональным группам: </w:t>
      </w:r>
      <w:r w:rsidRPr="00BD093E">
        <w:rPr>
          <w:rFonts w:eastAsia="Calibri" w:cs="Times New Roman"/>
          <w:b/>
          <w:bCs/>
          <w:kern w:val="0"/>
          <w:lang w:eastAsia="en-US" w:bidi="ar-SA"/>
        </w:rPr>
        <w:t>Многоквартирные дома (средне/многоэтажной жилой застройки), Дома малоэтажной жилой застройки, в том числе индивидуальной жилой застройки - индивидуальные, малоэтажные блокированные (таунхаусы).</w:t>
      </w:r>
    </w:p>
    <w:p w14:paraId="5ABC8803" w14:textId="1C1CDA96" w:rsidR="004B2097" w:rsidRDefault="004B2097" w:rsidP="004B2097">
      <w:pPr>
        <w:widowControl/>
        <w:tabs>
          <w:tab w:val="left" w:pos="6990"/>
        </w:tabs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По другим группам</w:t>
      </w:r>
      <w:r w:rsidR="009711F4">
        <w:rPr>
          <w:rFonts w:eastAsia="Calibri" w:cs="Times New Roman"/>
          <w:kern w:val="0"/>
          <w:lang w:eastAsia="en-US" w:bidi="ar-SA"/>
        </w:rPr>
        <w:t xml:space="preserve"> </w:t>
      </w:r>
      <w:r>
        <w:rPr>
          <w:rFonts w:eastAsia="Calibri" w:cs="Times New Roman"/>
          <w:kern w:val="0"/>
          <w:lang w:eastAsia="en-US" w:bidi="ar-SA"/>
        </w:rPr>
        <w:t xml:space="preserve">зонирование не проводилось в силу того, что рыночная информация недостаточна, имеет фрагментарный характер, что не позволяет выделить соответствующие зоны с типовыми объектами. </w:t>
      </w:r>
    </w:p>
    <w:p w14:paraId="0DBAC651" w14:textId="77777777" w:rsidR="004B2097" w:rsidRDefault="004B2097" w:rsidP="004B2097">
      <w:pPr>
        <w:widowControl/>
        <w:tabs>
          <w:tab w:val="left" w:pos="6990"/>
        </w:tabs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Основной подход к определению средней рыночной цены типового объекта в рамках оценочного зонирования основан на обобщении рыночных цен объектов недвижимости в рамках выделенных ценовых зон. Корректировка цен предложений на торг не производилась.</w:t>
      </w:r>
    </w:p>
    <w:p w14:paraId="5156C221" w14:textId="488A72BC" w:rsidR="004B2097" w:rsidRDefault="004B2097" w:rsidP="004B2097">
      <w:pPr>
        <w:widowControl/>
        <w:tabs>
          <w:tab w:val="left" w:pos="6990"/>
        </w:tabs>
        <w:spacing w:before="120"/>
        <w:ind w:firstLine="709"/>
        <w:jc w:val="both"/>
        <w:textAlignment w:val="auto"/>
      </w:pPr>
      <w:bookmarkStart w:id="0" w:name="_Ref9863934"/>
      <w:bookmarkStart w:id="1" w:name="_Toc16775492"/>
      <w:r>
        <w:rPr>
          <w:rFonts w:eastAsia="Calibri" w:cs="Times New Roman"/>
          <w:b/>
          <w:iCs/>
          <w:kern w:val="0"/>
          <w:lang w:eastAsia="en-US" w:bidi="ar-SA"/>
        </w:rPr>
        <w:t>Оценочное зонирование группы</w:t>
      </w:r>
      <w:r w:rsidR="004A77D1">
        <w:rPr>
          <w:rFonts w:eastAsia="Calibri" w:cs="Times New Roman"/>
          <w:b/>
          <w:iCs/>
          <w:kern w:val="0"/>
          <w:lang w:eastAsia="en-US" w:bidi="ar-SA"/>
        </w:rPr>
        <w:t>: м</w:t>
      </w:r>
      <w:r>
        <w:rPr>
          <w:rFonts w:eastAsia="Calibri" w:cs="Times New Roman"/>
          <w:b/>
          <w:iCs/>
          <w:kern w:val="0"/>
          <w:lang w:eastAsia="en-US" w:bidi="ar-SA"/>
        </w:rPr>
        <w:t>ногоквартирные дома (дома средне- и многоэтажной жилой застройки)</w:t>
      </w:r>
      <w:bookmarkEnd w:id="0"/>
      <w:bookmarkEnd w:id="1"/>
    </w:p>
    <w:p w14:paraId="08624861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Анализ социально-экономического развития территорий и цен на рынке недвижимости позволяет выделить 10 ценовых зон. Ценовые зоны построены таким образом, что их границы совпадают с границами кадастровых кварталов (1-6 зоны) и муниципальных образований (7-10 зоны), входящих в них, что обоснованно распределением объектов-аналогов на территории республики.</w:t>
      </w:r>
    </w:p>
    <w:p w14:paraId="3D7F634A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bookmarkStart w:id="2" w:name="_Hlk138941072"/>
      <w:r>
        <w:rPr>
          <w:rFonts w:eastAsia="Calibri" w:cs="Times New Roman"/>
          <w:kern w:val="0"/>
          <w:lang w:eastAsia="en-US" w:bidi="ar-SA"/>
        </w:rPr>
        <w:t>Ниже приведено графическое отображение сформированных ценовых зон 1-10 и их описание</w:t>
      </w:r>
      <w:bookmarkEnd w:id="2"/>
      <w:r>
        <w:rPr>
          <w:rFonts w:eastAsia="Calibri" w:cs="Times New Roman"/>
          <w:kern w:val="0"/>
          <w:lang w:eastAsia="en-US" w:bidi="ar-SA"/>
        </w:rPr>
        <w:t>.</w:t>
      </w:r>
    </w:p>
    <w:p w14:paraId="5B10F49C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</w:p>
    <w:p w14:paraId="3484DFA3" w14:textId="77777777" w:rsidR="004B2097" w:rsidRDefault="004B2097" w:rsidP="004B2097">
      <w:pPr>
        <w:pStyle w:val="Standard"/>
        <w:jc w:val="both"/>
      </w:pPr>
      <w:r>
        <w:rPr>
          <w:rFonts w:cs="Times New Roman"/>
          <w:noProof/>
          <w:lang w:val="ru-RU"/>
        </w:rPr>
        <w:drawing>
          <wp:inline distT="0" distB="0" distL="0" distR="0" wp14:anchorId="3383A6BA" wp14:editId="5C9FFD71">
            <wp:extent cx="6119493" cy="4323456"/>
            <wp:effectExtent l="0" t="0" r="0" b="894"/>
            <wp:docPr id="707352255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432345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8843752" w14:textId="026065E0" w:rsidR="004B2097" w:rsidRDefault="004B2097" w:rsidP="004B2097">
      <w:pPr>
        <w:widowControl/>
        <w:tabs>
          <w:tab w:val="left" w:pos="6990"/>
        </w:tabs>
        <w:jc w:val="center"/>
        <w:textAlignment w:val="auto"/>
      </w:pPr>
      <w:r>
        <w:rPr>
          <w:b/>
          <w:bCs/>
          <w:sz w:val="20"/>
          <w:szCs w:val="20"/>
        </w:rPr>
        <w:t>Графическое</w:t>
      </w:r>
      <w:r>
        <w:rPr>
          <w:rFonts w:eastAsia="Calibri" w:cs="Times New Roman"/>
          <w:b/>
          <w:iCs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 xml:space="preserve">отображение сформированных ценовых зон 1-10 Республики Мордовия </w:t>
      </w:r>
    </w:p>
    <w:p w14:paraId="3BC4C456" w14:textId="77777777" w:rsidR="004A77D1" w:rsidRDefault="004A77D1" w:rsidP="004B2097">
      <w:pPr>
        <w:widowControl/>
        <w:textAlignment w:val="auto"/>
        <w:rPr>
          <w:b/>
          <w:bCs/>
          <w:sz w:val="20"/>
          <w:szCs w:val="20"/>
        </w:rPr>
      </w:pPr>
    </w:p>
    <w:p w14:paraId="660D9F33" w14:textId="06ACEF83" w:rsidR="004B2097" w:rsidRDefault="004B2097" w:rsidP="004B2097">
      <w:pPr>
        <w:widowControl/>
        <w:textAlignment w:val="auto"/>
      </w:pPr>
      <w:r>
        <w:rPr>
          <w:b/>
          <w:bCs/>
          <w:sz w:val="20"/>
          <w:szCs w:val="20"/>
        </w:rPr>
        <w:lastRenderedPageBreak/>
        <w:t>Краткая</w:t>
      </w:r>
      <w:r>
        <w:rPr>
          <w:rFonts w:eastAsia="Calibri" w:cs="Times New Roman"/>
          <w:b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характеристика ценовых зон Республики Мордовия 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3220"/>
        <w:gridCol w:w="5811"/>
      </w:tblGrid>
      <w:tr w:rsidR="004B2097" w14:paraId="3755B3DB" w14:textId="77777777" w:rsidTr="00EA349A">
        <w:trPr>
          <w:trHeight w:val="20"/>
          <w:tblHeader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A14B2F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№ </w:t>
            </w:r>
          </w:p>
          <w:p w14:paraId="4DCE13E1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п/п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5DD755A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Наименование ценовой зоны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EBFD00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Описание</w:t>
            </w:r>
          </w:p>
        </w:tc>
      </w:tr>
      <w:tr w:rsidR="004B2097" w14:paraId="0F777F4D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E19DA4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369888E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1 Центр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2A85953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Центр</w:t>
            </w:r>
          </w:p>
        </w:tc>
      </w:tr>
      <w:tr w:rsidR="004B2097" w14:paraId="5B654D48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65B5EA6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A4B078F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2 Центр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6DB92A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Центр, «Низы»</w:t>
            </w:r>
          </w:p>
        </w:tc>
      </w:tr>
      <w:tr w:rsidR="004B2097" w14:paraId="3F831016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52B8DE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8B0432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ЖК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2CF36B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ЖК Ветеран, ЖК Лесная сказка, ЖК Макс, ЖК на Ульянова, ЖК на Гагарина, ЖК Юбилейный, ЖК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Гратион</w:t>
            </w:r>
            <w:proofErr w:type="spellEnd"/>
          </w:p>
        </w:tc>
      </w:tr>
      <w:tr w:rsidR="004B2097" w14:paraId="0711DE17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20CE905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54342A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районы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6216D0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Жилые районы Химмаш,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Светотехстрой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, Юго-запад</w:t>
            </w:r>
          </w:p>
        </w:tc>
      </w:tr>
      <w:tr w:rsidR="004B2097" w14:paraId="08E49108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81D87E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5B4632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ТЭЦ, Осипенко, Транспортная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A0BFA2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ТЭЦ-2, ул. Осипенко, ул. Транспортная</w:t>
            </w:r>
          </w:p>
        </w:tc>
      </w:tr>
      <w:tr w:rsidR="004B2097" w14:paraId="5655C8E2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9C97F4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97E4062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Пригород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г.о.Саранск</w:t>
            </w:r>
            <w:proofErr w:type="spellEnd"/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78DA27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пгт.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Ялга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пгт. Николаевка, пгт. Ремзавод,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Луховка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Озерный,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Горяйновка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д. Ивановка, д. Полянки, д.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Танеевка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Добровольный, п. Пушкино,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Грибоедово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Зыково, с. Куликовка,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Макаровка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Монастырское, с. Напольная Тавла,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Берсеневка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, п. Звездный</w:t>
            </w:r>
          </w:p>
        </w:tc>
      </w:tr>
      <w:tr w:rsidR="004B2097" w14:paraId="7CFFB6C0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4086137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0865006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Рузаевка,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Лямбирь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Атемар</w:t>
            </w:r>
            <w:proofErr w:type="spellEnd"/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B8D63C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г. Рузаевка,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Лямбирь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Атемар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, с. Пензятка</w:t>
            </w:r>
          </w:p>
        </w:tc>
      </w:tr>
      <w:tr w:rsidR="004B2097" w14:paraId="335B80D5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12E6CC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52D1479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Крупные населенные пункты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D77433F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Левженский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Ключарево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Атяшево, г.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Ковылкино,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                 г. Краснослободск,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Торбеево,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Чамзинка,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Комсомольский,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с. Кочкурово,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Зубова Поляна, п. Явас, с. Большая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Елховка,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       п. Совхоз Коммунар</w:t>
            </w:r>
          </w:p>
        </w:tc>
      </w:tr>
      <w:tr w:rsidR="004B2097" w14:paraId="12A3DA91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6A4704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9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03343EA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Прочие районные центры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C12B38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с. Аксеново, с. Лопатино, с. Первомайск,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Скрябино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г.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Ардатов,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Тургенево,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Атюрьево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Большие Березники, с.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Дубенки,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          г. Инсар,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Ичалки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Кемля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Ромоданово, с. Старое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Шайгово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                     г. Темников, с. Теньгушево, с. Ельники, с. Большое Игнатово,                      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Кадошкино</w:t>
            </w:r>
            <w:proofErr w:type="spellEnd"/>
          </w:p>
        </w:tc>
      </w:tr>
      <w:tr w:rsidR="004B2097" w14:paraId="7CB88015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0498A9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10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26156C6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Прочие сельские населенные пункты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B4AB96D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Прочие населенные пункты </w:t>
            </w:r>
          </w:p>
        </w:tc>
      </w:tr>
    </w:tbl>
    <w:p w14:paraId="4D169EA3" w14:textId="77777777" w:rsidR="004B2097" w:rsidRDefault="004B2097" w:rsidP="004B2097">
      <w:pPr>
        <w:widowControl/>
        <w:tabs>
          <w:tab w:val="left" w:pos="6990"/>
        </w:tabs>
        <w:jc w:val="center"/>
        <w:textAlignment w:val="auto"/>
      </w:pPr>
    </w:p>
    <w:p w14:paraId="65643755" w14:textId="77777777" w:rsidR="004B2097" w:rsidRDefault="004B2097" w:rsidP="004B2097">
      <w:pPr>
        <w:widowControl/>
        <w:tabs>
          <w:tab w:val="left" w:pos="567"/>
          <w:tab w:val="left" w:pos="709"/>
          <w:tab w:val="left" w:pos="6990"/>
        </w:tabs>
        <w:jc w:val="both"/>
        <w:textAlignment w:val="auto"/>
      </w:pPr>
      <w:r>
        <w:t xml:space="preserve">           Ниже приведено укрупненное графическое отображение сформированных ценовых зон 1-6 для </w:t>
      </w:r>
      <w:proofErr w:type="spellStart"/>
      <w:r>
        <w:t>г.о</w:t>
      </w:r>
      <w:proofErr w:type="spellEnd"/>
      <w:r>
        <w:t>. Саранск и их описание.</w:t>
      </w:r>
    </w:p>
    <w:p w14:paraId="50ABB11D" w14:textId="77777777" w:rsidR="004B2097" w:rsidRDefault="004B2097" w:rsidP="004B2097">
      <w:pPr>
        <w:widowControl/>
        <w:tabs>
          <w:tab w:val="left" w:pos="567"/>
          <w:tab w:val="left" w:pos="709"/>
          <w:tab w:val="left" w:pos="6990"/>
        </w:tabs>
        <w:jc w:val="both"/>
        <w:textAlignment w:val="auto"/>
      </w:pPr>
    </w:p>
    <w:p w14:paraId="65B67B53" w14:textId="77777777" w:rsidR="004B2097" w:rsidRDefault="004B2097" w:rsidP="004B2097">
      <w:pPr>
        <w:pStyle w:val="Standard"/>
        <w:jc w:val="both"/>
      </w:pPr>
      <w:r>
        <w:rPr>
          <w:rFonts w:cs="Times New Roman"/>
          <w:noProof/>
          <w:lang w:val="ru-RU"/>
        </w:rPr>
        <w:drawing>
          <wp:inline distT="0" distB="0" distL="0" distR="0" wp14:anchorId="00CACA05" wp14:editId="7EB4DFDB">
            <wp:extent cx="6119493" cy="4066931"/>
            <wp:effectExtent l="0" t="0" r="0" b="0"/>
            <wp:docPr id="1588376559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40669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4A61E88" w14:textId="281629D1" w:rsidR="004B2097" w:rsidRDefault="004B2097" w:rsidP="004B2097">
      <w:pPr>
        <w:widowControl/>
        <w:tabs>
          <w:tab w:val="left" w:pos="6990"/>
        </w:tabs>
        <w:jc w:val="center"/>
        <w:textAlignment w:val="auto"/>
      </w:pPr>
      <w:r>
        <w:rPr>
          <w:b/>
          <w:bCs/>
          <w:sz w:val="20"/>
          <w:szCs w:val="20"/>
        </w:rPr>
        <w:t xml:space="preserve"> Графическое</w:t>
      </w:r>
      <w:r>
        <w:rPr>
          <w:rFonts w:eastAsia="Calibri" w:cs="Times New Roman"/>
          <w:b/>
          <w:iCs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 xml:space="preserve">отображение сформированных ценовых зон 1-6 </w:t>
      </w:r>
      <w:proofErr w:type="spellStart"/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>г.о</w:t>
      </w:r>
      <w:proofErr w:type="spellEnd"/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 xml:space="preserve">. Саранск </w:t>
      </w:r>
    </w:p>
    <w:p w14:paraId="71D36872" w14:textId="77777777" w:rsidR="004A77D1" w:rsidRDefault="004A77D1" w:rsidP="004B2097">
      <w:pPr>
        <w:widowControl/>
        <w:textAlignment w:val="auto"/>
        <w:rPr>
          <w:b/>
          <w:bCs/>
          <w:sz w:val="20"/>
          <w:szCs w:val="20"/>
        </w:rPr>
      </w:pPr>
    </w:p>
    <w:p w14:paraId="7625D174" w14:textId="77777777" w:rsidR="004A77D1" w:rsidRDefault="004A77D1" w:rsidP="004B2097">
      <w:pPr>
        <w:widowControl/>
        <w:textAlignment w:val="auto"/>
        <w:rPr>
          <w:b/>
          <w:bCs/>
          <w:sz w:val="20"/>
          <w:szCs w:val="20"/>
        </w:rPr>
      </w:pPr>
    </w:p>
    <w:p w14:paraId="1520DB21" w14:textId="77777777" w:rsidR="004A77D1" w:rsidRDefault="004A77D1" w:rsidP="004B2097">
      <w:pPr>
        <w:widowControl/>
        <w:textAlignment w:val="auto"/>
        <w:rPr>
          <w:b/>
          <w:bCs/>
          <w:sz w:val="20"/>
          <w:szCs w:val="20"/>
        </w:rPr>
      </w:pPr>
    </w:p>
    <w:p w14:paraId="3047CD87" w14:textId="500A022A" w:rsidR="004B2097" w:rsidRDefault="004B2097" w:rsidP="004B2097">
      <w:pPr>
        <w:widowControl/>
        <w:textAlignment w:val="auto"/>
      </w:pPr>
      <w:r>
        <w:rPr>
          <w:b/>
          <w:bCs/>
          <w:sz w:val="20"/>
          <w:szCs w:val="20"/>
        </w:rPr>
        <w:lastRenderedPageBreak/>
        <w:t>Краткая</w:t>
      </w:r>
      <w:r>
        <w:rPr>
          <w:rFonts w:eastAsia="Calibri" w:cs="Times New Roman"/>
          <w:b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характеристика ценовых зон </w:t>
      </w:r>
      <w:proofErr w:type="spellStart"/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>г.о</w:t>
      </w:r>
      <w:proofErr w:type="spellEnd"/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 xml:space="preserve">. Саранск 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3220"/>
        <w:gridCol w:w="5811"/>
      </w:tblGrid>
      <w:tr w:rsidR="004B2097" w14:paraId="261166B8" w14:textId="77777777" w:rsidTr="00EA349A">
        <w:trPr>
          <w:trHeight w:val="20"/>
          <w:tblHeader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DA47E26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bookmarkStart w:id="3" w:name="_Hlk138932315"/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№ </w:t>
            </w:r>
          </w:p>
          <w:p w14:paraId="3A8843EF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п/п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8A2F048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Наименование ценовой зоны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E8C66F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Описание</w:t>
            </w:r>
          </w:p>
        </w:tc>
      </w:tr>
      <w:tr w:rsidR="004B2097" w14:paraId="4F9C2E03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49E64E2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B90E2E1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1 Центр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05CB519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Центр</w:t>
            </w:r>
          </w:p>
        </w:tc>
      </w:tr>
      <w:tr w:rsidR="004B2097" w14:paraId="2E7AAE24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9E1031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BDFFF3F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2 Центр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B4FC664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Центр, «Низы»</w:t>
            </w:r>
          </w:p>
        </w:tc>
      </w:tr>
      <w:tr w:rsidR="004B2097" w14:paraId="7DA46C51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775D51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543B5C9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ЖК Саранска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A18CD4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ЖК Ветеран, ЖК Лесная сказка, ЖК Макс, ЖК на Ульянова, ЖК на Гагарина, ЖК Юбилейный, ЖК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Гратион</w:t>
            </w:r>
            <w:proofErr w:type="spellEnd"/>
          </w:p>
        </w:tc>
      </w:tr>
      <w:tr w:rsidR="004B2097" w14:paraId="2C0782E8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7DC4E52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9B57309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районы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10AF28A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Жилые районы Химмаш,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Светотехстрой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, Юго-запад</w:t>
            </w:r>
          </w:p>
        </w:tc>
      </w:tr>
      <w:tr w:rsidR="004B2097" w14:paraId="7EE1AB5F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735D1E7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6C259AB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ТЭЦ, Осипенко, Транспортная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F6CB4B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Жилой район ТЭЦ-2, ул. Осипенко, ул. Транспортная</w:t>
            </w:r>
          </w:p>
        </w:tc>
      </w:tr>
      <w:tr w:rsidR="004B2097" w14:paraId="2F776855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2786562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FD61C78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Пригород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г.о.Саранск</w:t>
            </w:r>
            <w:proofErr w:type="spellEnd"/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0F0673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пгт.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Ялга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пгт. Николаевка, пгт. Ремзавод,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Луховка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Озерный,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Горяйновка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д. Ивановка, д. Полянки, д.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Танеевка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Добровольный, п. Пушкино,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Грибоедово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Зыково, с. Куликовка,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Макаровка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Монастырское, с. Напольная Тавла,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Берсеневка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, п. Звездный</w:t>
            </w:r>
          </w:p>
        </w:tc>
      </w:tr>
    </w:tbl>
    <w:bookmarkEnd w:id="3"/>
    <w:p w14:paraId="5DED0897" w14:textId="58AD4AC1" w:rsidR="004B2097" w:rsidRDefault="004B2097" w:rsidP="004B2097">
      <w:pPr>
        <w:widowControl/>
        <w:tabs>
          <w:tab w:val="left" w:pos="6990"/>
        </w:tabs>
        <w:spacing w:before="120"/>
        <w:ind w:firstLine="709"/>
        <w:jc w:val="both"/>
        <w:textAlignment w:val="auto"/>
      </w:pPr>
      <w:r>
        <w:rPr>
          <w:rFonts w:eastAsia="Calibri" w:cs="Times New Roman"/>
          <w:b/>
          <w:iCs/>
          <w:kern w:val="0"/>
          <w:lang w:eastAsia="en-US" w:bidi="ar-SA"/>
        </w:rPr>
        <w:t>Оценочное зонирование группы</w:t>
      </w:r>
      <w:proofErr w:type="gramStart"/>
      <w:r w:rsidR="009711F4">
        <w:rPr>
          <w:rFonts w:eastAsia="Calibri" w:cs="Times New Roman"/>
          <w:b/>
          <w:iCs/>
          <w:kern w:val="0"/>
          <w:lang w:eastAsia="en-US" w:bidi="ar-SA"/>
        </w:rPr>
        <w:t xml:space="preserve">: </w:t>
      </w:r>
      <w:r>
        <w:rPr>
          <w:rFonts w:eastAsia="Calibri" w:cs="Times New Roman"/>
          <w:b/>
          <w:bCs/>
          <w:iCs/>
          <w:kern w:val="0"/>
          <w:lang w:eastAsia="en-US" w:bidi="ar-SA"/>
        </w:rPr>
        <w:t>Дома</w:t>
      </w:r>
      <w:proofErr w:type="gramEnd"/>
      <w:r>
        <w:rPr>
          <w:rFonts w:eastAsia="Calibri" w:cs="Times New Roman"/>
          <w:b/>
          <w:bCs/>
          <w:iCs/>
          <w:kern w:val="0"/>
          <w:lang w:eastAsia="en-US" w:bidi="ar-SA"/>
        </w:rPr>
        <w:t xml:space="preserve"> малоэтажной жилой застройки, в том числе индивидуальной жилой застройки - индивидуальные, малоэтажные блокированные (таунхаусы)</w:t>
      </w:r>
    </w:p>
    <w:p w14:paraId="696F6FE1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Анализ социально-экономического развития территорий и цен на рынке недвижимости позволяет выделить 6 ценовых зон. Ценовые зоны построены таким образом, что их границы совпадают с границами муниципальных образований, входящих в них, что обоснованно распределением объектов-аналогов на территории республики.</w:t>
      </w:r>
    </w:p>
    <w:p w14:paraId="73240192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Ниже приведено графическое отображение сформированных ценовых зон и их описание.</w:t>
      </w:r>
    </w:p>
    <w:p w14:paraId="475D4163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sz w:val="16"/>
          <w:szCs w:val="16"/>
          <w:lang w:eastAsia="en-US" w:bidi="ar-SA"/>
        </w:rPr>
      </w:pPr>
    </w:p>
    <w:p w14:paraId="5FA25CD6" w14:textId="77777777" w:rsidR="004B2097" w:rsidRDefault="004B2097" w:rsidP="004B2097">
      <w:pPr>
        <w:pStyle w:val="Standard"/>
        <w:jc w:val="center"/>
      </w:pPr>
      <w:r>
        <w:rPr>
          <w:b/>
          <w:iCs/>
          <w:noProof/>
          <w:sz w:val="20"/>
          <w:szCs w:val="20"/>
          <w:lang w:val="ru-RU"/>
        </w:rPr>
        <w:drawing>
          <wp:inline distT="0" distB="0" distL="0" distR="0" wp14:anchorId="7BFCBDAE" wp14:editId="2A05C1F6">
            <wp:extent cx="5991843" cy="3896130"/>
            <wp:effectExtent l="0" t="0" r="8907" b="9120"/>
            <wp:docPr id="824712689" name="Рисунок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1843" cy="389613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72D070D4" w14:textId="1AC53B67" w:rsidR="004B2097" w:rsidRDefault="004B2097" w:rsidP="004B2097">
      <w:pPr>
        <w:widowControl/>
        <w:tabs>
          <w:tab w:val="left" w:pos="6990"/>
        </w:tabs>
        <w:jc w:val="center"/>
        <w:textAlignment w:val="auto"/>
      </w:pPr>
      <w:bookmarkStart w:id="4" w:name="_Hlk131519162"/>
      <w:r>
        <w:rPr>
          <w:b/>
          <w:bCs/>
          <w:sz w:val="20"/>
          <w:szCs w:val="20"/>
        </w:rPr>
        <w:t>Графическое</w:t>
      </w:r>
      <w:r>
        <w:rPr>
          <w:rFonts w:eastAsia="Calibri" w:cs="Times New Roman"/>
          <w:b/>
          <w:iCs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>отображение сформированных ценовых зон</w:t>
      </w:r>
      <w:bookmarkEnd w:id="4"/>
    </w:p>
    <w:p w14:paraId="41857538" w14:textId="77777777" w:rsidR="004B2097" w:rsidRDefault="004B2097" w:rsidP="004B2097">
      <w:pPr>
        <w:widowControl/>
        <w:tabs>
          <w:tab w:val="left" w:pos="6990"/>
        </w:tabs>
        <w:jc w:val="center"/>
        <w:textAlignment w:val="auto"/>
      </w:pPr>
    </w:p>
    <w:p w14:paraId="37EEB717" w14:textId="15413D83" w:rsidR="004B2097" w:rsidRDefault="004B2097" w:rsidP="004B2097">
      <w:pPr>
        <w:widowControl/>
        <w:textAlignment w:val="auto"/>
      </w:pPr>
      <w:r>
        <w:rPr>
          <w:b/>
          <w:bCs/>
          <w:sz w:val="20"/>
          <w:szCs w:val="20"/>
        </w:rPr>
        <w:t>Краткая</w:t>
      </w:r>
      <w:r>
        <w:rPr>
          <w:rFonts w:eastAsia="Calibri" w:cs="Times New Roman"/>
          <w:b/>
          <w:kern w:val="0"/>
          <w:sz w:val="16"/>
          <w:szCs w:val="16"/>
          <w:lang w:eastAsia="en-US" w:bidi="ar-SA"/>
        </w:rPr>
        <w:t xml:space="preserve"> </w:t>
      </w:r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>характеристика ценовых зон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3220"/>
        <w:gridCol w:w="5811"/>
      </w:tblGrid>
      <w:tr w:rsidR="004B2097" w14:paraId="4F973D9F" w14:textId="77777777" w:rsidTr="00EA349A">
        <w:trPr>
          <w:trHeight w:val="20"/>
          <w:tblHeader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BF2CDB6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 xml:space="preserve">№ </w:t>
            </w:r>
          </w:p>
          <w:p w14:paraId="0CCAAF97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п/п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6BED99E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Наименование ценовой зоны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2AF7137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Описание</w:t>
            </w:r>
          </w:p>
        </w:tc>
      </w:tr>
      <w:tr w:rsidR="004B2097" w14:paraId="365EB36E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823D34D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6E2950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г.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A338AC0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Жилые районы г. Саранск</w:t>
            </w:r>
          </w:p>
        </w:tc>
      </w:tr>
      <w:tr w:rsidR="004B2097" w14:paraId="65351B4F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A1647F8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D3DA18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г.о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162C53B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пгт.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Ялга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пгт. Николаевка, пгт. Ремзавод,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Луховка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Озерный,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Горяйновка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д. Ивановка, д. Полянки, д.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Танеевка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Добровольный, п. Пушкино,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Грибоедово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Зыково, с. </w:t>
            </w: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 xml:space="preserve">Куликовка,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Макаровка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Монастырское, с. Напольная Тавла,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Берсеневка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Звездный, п.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Чекаевский</w:t>
            </w:r>
            <w:proofErr w:type="spellEnd"/>
          </w:p>
        </w:tc>
      </w:tr>
      <w:tr w:rsidR="004B2097" w14:paraId="33841BF8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1658C5A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lastRenderedPageBreak/>
              <w:t>3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FC62CB0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г. Рузаевка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AD4D88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Жилые районы г. Рузаевка</w:t>
            </w:r>
          </w:p>
        </w:tc>
      </w:tr>
      <w:tr w:rsidR="004B2097" w14:paraId="0C1A9B73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E31D075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81710C4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Лямбирский, Рузаевский, Кочкуровский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7EAF735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Лямбирский, Рузаевский, Кочкуровский районы</w:t>
            </w:r>
          </w:p>
        </w:tc>
      </w:tr>
      <w:tr w:rsidR="004B2097" w14:paraId="1E04F433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3CA5388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F3708F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Чамзинский, Торбеевский, Ромодановский, Ковылкинский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D31E402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Чамзинский, Торбеевский, Ромодановский, Ковылкинский районы</w:t>
            </w:r>
          </w:p>
        </w:tc>
      </w:tr>
      <w:tr w:rsidR="004B2097" w14:paraId="226DB3B7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F190957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E882D04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Прочие муниципальные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0933C733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Ардатовский, Атюрьевский, Атяшевский, Большеберезниковский, Большеигнатовский, Дубенский, Ельниковский, Зубово-Полянский, Инсарский, Ичалковский, Кадошкинский, Краснослободский, Старошайговский, Темниковский, Теньгушевский районы</w:t>
            </w:r>
          </w:p>
        </w:tc>
      </w:tr>
    </w:tbl>
    <w:p w14:paraId="7830D26A" w14:textId="2F21C72D" w:rsidR="004B2097" w:rsidRDefault="004B2097" w:rsidP="004B2097">
      <w:pPr>
        <w:widowControl/>
        <w:tabs>
          <w:tab w:val="left" w:pos="6990"/>
        </w:tabs>
        <w:spacing w:before="120"/>
        <w:ind w:firstLine="709"/>
        <w:jc w:val="both"/>
        <w:textAlignment w:val="auto"/>
      </w:pPr>
      <w:r>
        <w:rPr>
          <w:rFonts w:eastAsia="Calibri" w:cs="Times New Roman"/>
          <w:b/>
          <w:iCs/>
          <w:kern w:val="0"/>
          <w:lang w:eastAsia="en-US" w:bidi="ar-SA"/>
        </w:rPr>
        <w:t>Оценочное зонирование группы</w:t>
      </w:r>
      <w:proofErr w:type="gramStart"/>
      <w:r w:rsidR="009711F4">
        <w:rPr>
          <w:rFonts w:eastAsia="Calibri" w:cs="Times New Roman"/>
          <w:b/>
          <w:iCs/>
          <w:kern w:val="0"/>
          <w:lang w:eastAsia="en-US" w:bidi="ar-SA"/>
        </w:rPr>
        <w:t>:</w:t>
      </w:r>
      <w:r>
        <w:rPr>
          <w:rFonts w:eastAsia="Calibri" w:cs="Times New Roman"/>
          <w:b/>
          <w:iCs/>
          <w:kern w:val="0"/>
          <w:lang w:eastAsia="en-US" w:bidi="ar-SA"/>
        </w:rPr>
        <w:t xml:space="preserve"> </w:t>
      </w:r>
      <w:bookmarkStart w:id="5" w:name="_Hlk137723027"/>
      <w:r>
        <w:rPr>
          <w:rFonts w:eastAsia="Calibri" w:cs="Times New Roman"/>
          <w:b/>
          <w:iCs/>
          <w:kern w:val="0"/>
          <w:lang w:eastAsia="en-US" w:bidi="ar-SA"/>
        </w:rPr>
        <w:t>Дома</w:t>
      </w:r>
      <w:proofErr w:type="gramEnd"/>
      <w:r>
        <w:rPr>
          <w:rFonts w:eastAsia="Calibri" w:cs="Times New Roman"/>
          <w:b/>
          <w:iCs/>
          <w:kern w:val="0"/>
          <w:lang w:eastAsia="en-US" w:bidi="ar-SA"/>
        </w:rPr>
        <w:t xml:space="preserve"> </w:t>
      </w:r>
      <w:bookmarkEnd w:id="5"/>
      <w:r w:rsidR="00DF6B22">
        <w:rPr>
          <w:rFonts w:eastAsia="Calibri" w:cs="Times New Roman"/>
          <w:b/>
          <w:iCs/>
          <w:kern w:val="0"/>
          <w:lang w:eastAsia="en-US" w:bidi="ar-SA"/>
        </w:rPr>
        <w:t>индивидуальные</w:t>
      </w:r>
    </w:p>
    <w:p w14:paraId="040537A7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Анализ социально-экономического развития территорий и цен на рынке недвижимости позволяет выделить 8 ценовых зон. Ценовые зоны построены таким образом, что их границы совпадают с границами муниципальных образований, входящих в них, что обоснованно распределением объектов-аналогов на территории республики.</w:t>
      </w:r>
    </w:p>
    <w:p w14:paraId="5734C0FB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  <w:r>
        <w:rPr>
          <w:rFonts w:eastAsia="Calibri" w:cs="Times New Roman"/>
          <w:kern w:val="0"/>
          <w:lang w:eastAsia="en-US" w:bidi="ar-SA"/>
        </w:rPr>
        <w:t>Ниже приведено графическое отображение сформированных ценовых зон и их описание.</w:t>
      </w:r>
    </w:p>
    <w:p w14:paraId="1DDC49AF" w14:textId="77777777" w:rsidR="004B2097" w:rsidRDefault="004B2097" w:rsidP="004B2097">
      <w:pPr>
        <w:widowControl/>
        <w:ind w:firstLine="709"/>
        <w:jc w:val="both"/>
        <w:textAlignment w:val="auto"/>
        <w:rPr>
          <w:rFonts w:eastAsia="Calibri" w:cs="Times New Roman"/>
          <w:kern w:val="0"/>
          <w:lang w:eastAsia="en-US" w:bidi="ar-SA"/>
        </w:rPr>
      </w:pPr>
    </w:p>
    <w:p w14:paraId="270372A7" w14:textId="77777777" w:rsidR="004B2097" w:rsidRDefault="004B2097" w:rsidP="004B2097">
      <w:pPr>
        <w:pStyle w:val="Standard"/>
        <w:jc w:val="both"/>
      </w:pPr>
      <w:r>
        <w:rPr>
          <w:rFonts w:cs="Times New Roman"/>
          <w:noProof/>
          <w:lang w:val="ru-RU"/>
        </w:rPr>
        <w:drawing>
          <wp:inline distT="0" distB="0" distL="0" distR="0" wp14:anchorId="39EEB6AF" wp14:editId="15E339E2">
            <wp:extent cx="6119493" cy="4288645"/>
            <wp:effectExtent l="0" t="0" r="0" b="0"/>
            <wp:docPr id="69751456" name="Рисунок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19493" cy="4288645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A522D5C" w14:textId="60D1384E" w:rsidR="004B2097" w:rsidRDefault="004B2097" w:rsidP="004B2097">
      <w:pPr>
        <w:widowControl/>
        <w:tabs>
          <w:tab w:val="left" w:pos="6990"/>
        </w:tabs>
        <w:jc w:val="center"/>
        <w:textAlignment w:val="auto"/>
      </w:pPr>
      <w:r>
        <w:rPr>
          <w:rFonts w:eastAsia="Calibri" w:cs="Times New Roman"/>
          <w:b/>
          <w:iCs/>
          <w:kern w:val="0"/>
          <w:sz w:val="20"/>
          <w:szCs w:val="20"/>
          <w:lang w:eastAsia="en-US" w:bidi="ar-SA"/>
        </w:rPr>
        <w:t xml:space="preserve">Графическое отображение сформированных ценовых зон </w:t>
      </w:r>
    </w:p>
    <w:p w14:paraId="4DA30135" w14:textId="77777777" w:rsidR="004B2097" w:rsidRDefault="004B2097" w:rsidP="004B2097">
      <w:pPr>
        <w:widowControl/>
        <w:tabs>
          <w:tab w:val="left" w:pos="6990"/>
        </w:tabs>
        <w:jc w:val="center"/>
        <w:textAlignment w:val="auto"/>
        <w:rPr>
          <w:rFonts w:eastAsia="Calibri" w:cs="Times New Roman"/>
          <w:kern w:val="0"/>
          <w:lang w:eastAsia="en-US" w:bidi="ar-SA"/>
        </w:rPr>
      </w:pPr>
    </w:p>
    <w:p w14:paraId="7FB5C542" w14:textId="77777777" w:rsidR="009711F4" w:rsidRDefault="009711F4" w:rsidP="004B2097">
      <w:pPr>
        <w:widowControl/>
        <w:textAlignment w:val="auto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14:paraId="4BFAB0BB" w14:textId="77777777" w:rsidR="009711F4" w:rsidRDefault="009711F4" w:rsidP="004B2097">
      <w:pPr>
        <w:widowControl/>
        <w:textAlignment w:val="auto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14:paraId="194009CE" w14:textId="77777777" w:rsidR="009711F4" w:rsidRDefault="009711F4" w:rsidP="004B2097">
      <w:pPr>
        <w:widowControl/>
        <w:textAlignment w:val="auto"/>
        <w:rPr>
          <w:rFonts w:eastAsia="Calibri" w:cs="Times New Roman"/>
          <w:b/>
          <w:kern w:val="0"/>
          <w:sz w:val="20"/>
          <w:szCs w:val="20"/>
          <w:lang w:eastAsia="en-US" w:bidi="ar-SA"/>
        </w:rPr>
      </w:pPr>
    </w:p>
    <w:p w14:paraId="01721F7B" w14:textId="6B5AE640" w:rsidR="004B2097" w:rsidRDefault="004B2097" w:rsidP="004B2097">
      <w:pPr>
        <w:widowControl/>
        <w:textAlignment w:val="auto"/>
      </w:pPr>
      <w:r>
        <w:rPr>
          <w:rFonts w:eastAsia="Calibri" w:cs="Times New Roman"/>
          <w:b/>
          <w:kern w:val="0"/>
          <w:sz w:val="20"/>
          <w:szCs w:val="20"/>
          <w:lang w:eastAsia="en-US" w:bidi="ar-SA"/>
        </w:rPr>
        <w:t>Краткая характеристика ценовых зон</w:t>
      </w:r>
    </w:p>
    <w:tbl>
      <w:tblPr>
        <w:tblW w:w="9634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03"/>
        <w:gridCol w:w="3220"/>
        <w:gridCol w:w="5811"/>
      </w:tblGrid>
      <w:tr w:rsidR="004B2097" w14:paraId="7B152329" w14:textId="77777777" w:rsidTr="00EA349A">
        <w:trPr>
          <w:trHeight w:val="20"/>
          <w:tblHeader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22E6144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lastRenderedPageBreak/>
              <w:t xml:space="preserve">№ </w:t>
            </w:r>
          </w:p>
          <w:p w14:paraId="18562E4C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п/п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D3AC841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Наименование ценовой зоны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3212F02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b/>
                <w:kern w:val="0"/>
                <w:sz w:val="20"/>
                <w:szCs w:val="20"/>
                <w:lang w:eastAsia="en-US" w:bidi="ar-SA"/>
              </w:rPr>
              <w:t>Описание</w:t>
            </w:r>
          </w:p>
        </w:tc>
      </w:tr>
      <w:tr w:rsidR="004B2097" w14:paraId="69DF6382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4F2C803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1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0F01F7E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коттеджная застройка 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F4D6C0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Коттеджный поселок Чистые пруды, ул. Малая Академическая, жилой район «Низы» и Военная база</w:t>
            </w:r>
          </w:p>
        </w:tc>
      </w:tr>
      <w:tr w:rsidR="004B2097" w14:paraId="2059EE21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9F95150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2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CB130CC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пригородная коттеджная застройка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24A9C792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п. им. Гагарина,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Берсеневка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Чекаевский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Звездный,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               с. Куликовка,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рп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Луховка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пгт. Ремзавод, с. </w:t>
            </w:r>
            <w:proofErr w:type="spellStart"/>
            <w:proofErr w:type="gram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Макаровка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  </w:t>
            </w:r>
            <w:proofErr w:type="gram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                                 пгт. Николаевка</w:t>
            </w:r>
          </w:p>
        </w:tc>
      </w:tr>
      <w:tr w:rsidR="004B2097" w14:paraId="51A5F27E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5112368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3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882831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г.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B7AD0B8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Жилые районы г. Саранск</w:t>
            </w:r>
          </w:p>
        </w:tc>
      </w:tr>
      <w:tr w:rsidR="004B2097" w14:paraId="616F9862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654A8D5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4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8DDE425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г.о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 Саранск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3864771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Жилые районы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г.о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. Саранск</w:t>
            </w:r>
          </w:p>
        </w:tc>
      </w:tr>
      <w:tr w:rsidR="004B2097" w14:paraId="6D1F41FA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1135DBBE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5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A3BD054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Зона Рузаевка,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Тат.Пишля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Левжа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Левженский</w:t>
            </w:r>
            <w:proofErr w:type="spellEnd"/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3B40B38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г. Рузаевка, с. Татарская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Пишля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с.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Левжа</w:t>
            </w:r>
            <w:proofErr w:type="spellEnd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 xml:space="preserve">, п. </w:t>
            </w:r>
            <w:proofErr w:type="spellStart"/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Левженский</w:t>
            </w:r>
            <w:proofErr w:type="spellEnd"/>
          </w:p>
        </w:tc>
      </w:tr>
      <w:tr w:rsidR="004B2097" w14:paraId="7295D677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332FD78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6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632C2EE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Лямбирский, Рузаевский, Кочкуровский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546CF23C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Лямбирский, Рузаевский, Кочкуровский районы</w:t>
            </w:r>
          </w:p>
        </w:tc>
      </w:tr>
      <w:tr w:rsidR="004B2097" w14:paraId="6E0CBA39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5177EE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7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4572EA75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Чамзинский, Торбеевский, Ромодановский, Ковылкинский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499743A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Чамзинский, Торбеевский, Ромодановский, Ковылкинский районы</w:t>
            </w:r>
          </w:p>
        </w:tc>
      </w:tr>
      <w:tr w:rsidR="004B2097" w14:paraId="13D72C67" w14:textId="77777777" w:rsidTr="00EA349A">
        <w:trPr>
          <w:trHeight w:val="20"/>
        </w:trPr>
        <w:tc>
          <w:tcPr>
            <w:tcW w:w="6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7950FEC9" w14:textId="77777777" w:rsidR="004B2097" w:rsidRDefault="004B2097" w:rsidP="00EA349A">
            <w:pPr>
              <w:widowControl/>
              <w:jc w:val="center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8</w:t>
            </w:r>
          </w:p>
        </w:tc>
        <w:tc>
          <w:tcPr>
            <w:tcW w:w="32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334B5C62" w14:textId="77777777" w:rsidR="004B2097" w:rsidRDefault="004B2097" w:rsidP="00EA349A">
            <w:pPr>
              <w:widowControl/>
              <w:ind w:left="80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Зона Прочие муниципальные районы</w:t>
            </w:r>
          </w:p>
        </w:tc>
        <w:tc>
          <w:tcPr>
            <w:tcW w:w="5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  <w:vAlign w:val="center"/>
          </w:tcPr>
          <w:p w14:paraId="6D23DCB6" w14:textId="77777777" w:rsidR="004B2097" w:rsidRDefault="004B2097" w:rsidP="00EA349A">
            <w:pPr>
              <w:widowControl/>
              <w:jc w:val="both"/>
              <w:textAlignment w:val="auto"/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</w:pPr>
            <w:r>
              <w:rPr>
                <w:rFonts w:eastAsia="Calibri" w:cs="Times New Roman"/>
                <w:kern w:val="0"/>
                <w:sz w:val="20"/>
                <w:szCs w:val="20"/>
                <w:lang w:eastAsia="en-US" w:bidi="ar-SA"/>
              </w:rPr>
              <w:t>Ардатовский, Атюрьевский, Атяшевский, Большеберезниковский, Большеигнатовский, Дубенский, Ельниковский, Зубово-Полянский, Инсарский, Ичалковский, Кадошкинский, Краснослободский, Старошайговский, Темниковский, Теньгушевский районы</w:t>
            </w:r>
          </w:p>
        </w:tc>
      </w:tr>
    </w:tbl>
    <w:p w14:paraId="040B8CA7" w14:textId="77777777" w:rsidR="0007229B" w:rsidRDefault="0007229B" w:rsidP="009711F4">
      <w:pPr>
        <w:widowControl/>
        <w:tabs>
          <w:tab w:val="left" w:pos="6990"/>
        </w:tabs>
        <w:spacing w:before="120"/>
        <w:ind w:firstLine="709"/>
        <w:jc w:val="both"/>
        <w:textAlignment w:val="auto"/>
      </w:pPr>
    </w:p>
    <w:sectPr w:rsidR="000722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ndale Sans UI">
    <w:charset w:val="00"/>
    <w:family w:val="roman"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B25"/>
    <w:rsid w:val="0007229B"/>
    <w:rsid w:val="001F3B25"/>
    <w:rsid w:val="004A77D1"/>
    <w:rsid w:val="004B2097"/>
    <w:rsid w:val="009711F4"/>
    <w:rsid w:val="00BD093E"/>
    <w:rsid w:val="00BD74B8"/>
    <w:rsid w:val="00D924EB"/>
    <w:rsid w:val="00DF6B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8D57A7"/>
  <w15:chartTrackingRefBased/>
  <w15:docId w15:val="{8D6F1920-9389-4A80-9BA1-AEF45EB6CB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B20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eastAsia="ja-JP" w:bidi="fa-IR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4B209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</TotalTime>
  <Pages>5</Pages>
  <Words>1094</Words>
  <Characters>6239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Чугунова</dc:creator>
  <cp:keywords/>
  <dc:description/>
  <cp:lastModifiedBy>Оценка09</cp:lastModifiedBy>
  <cp:revision>6</cp:revision>
  <dcterms:created xsi:type="dcterms:W3CDTF">2023-12-06T12:10:00Z</dcterms:created>
  <dcterms:modified xsi:type="dcterms:W3CDTF">2023-12-07T07:24:00Z</dcterms:modified>
</cp:coreProperties>
</file>